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57EB" w14:textId="77777777" w:rsidR="00FE067E" w:rsidRPr="00FB1C91" w:rsidRDefault="003C6034" w:rsidP="00CC1F3B">
      <w:pPr>
        <w:pStyle w:val="TitlePageOrigin"/>
        <w:rPr>
          <w:color w:val="auto"/>
        </w:rPr>
      </w:pPr>
      <w:r w:rsidRPr="00FB1C91">
        <w:rPr>
          <w:caps w:val="0"/>
          <w:color w:val="auto"/>
        </w:rPr>
        <w:t>WEST VIRGINIA LEGISLATURE</w:t>
      </w:r>
    </w:p>
    <w:p w14:paraId="577C9787" w14:textId="77777777" w:rsidR="00CD36CF" w:rsidRPr="00FB1C91" w:rsidRDefault="00CD36CF" w:rsidP="00CC1F3B">
      <w:pPr>
        <w:pStyle w:val="TitlePageSession"/>
        <w:rPr>
          <w:color w:val="auto"/>
        </w:rPr>
      </w:pPr>
      <w:r w:rsidRPr="00FB1C91">
        <w:rPr>
          <w:color w:val="auto"/>
        </w:rPr>
        <w:t>20</w:t>
      </w:r>
      <w:r w:rsidR="00EC5E63" w:rsidRPr="00FB1C91">
        <w:rPr>
          <w:color w:val="auto"/>
        </w:rPr>
        <w:t>2</w:t>
      </w:r>
      <w:r w:rsidR="00211F02" w:rsidRPr="00FB1C91">
        <w:rPr>
          <w:color w:val="auto"/>
        </w:rPr>
        <w:t>5</w:t>
      </w:r>
      <w:r w:rsidRPr="00FB1C91">
        <w:rPr>
          <w:color w:val="auto"/>
        </w:rPr>
        <w:t xml:space="preserve"> </w:t>
      </w:r>
      <w:r w:rsidR="003C6034" w:rsidRPr="00FB1C91">
        <w:rPr>
          <w:caps w:val="0"/>
          <w:color w:val="auto"/>
        </w:rPr>
        <w:t>REGULAR SESSION</w:t>
      </w:r>
    </w:p>
    <w:p w14:paraId="61CE08FB" w14:textId="77777777" w:rsidR="00CD36CF" w:rsidRPr="00FB1C91" w:rsidRDefault="001B0B13" w:rsidP="00CC1F3B">
      <w:pPr>
        <w:pStyle w:val="TitlePageBillPrefix"/>
        <w:rPr>
          <w:color w:val="auto"/>
        </w:rPr>
      </w:pPr>
      <w:sdt>
        <w:sdtPr>
          <w:rPr>
            <w:color w:val="auto"/>
          </w:rPr>
          <w:tag w:val="IntroDate"/>
          <w:id w:val="-1236936958"/>
          <w:placeholder>
            <w:docPart w:val="62C2E1500B924FC7B524738648631BCA"/>
          </w:placeholder>
          <w:text/>
        </w:sdtPr>
        <w:sdtEndPr/>
        <w:sdtContent>
          <w:r w:rsidR="00AE48A0" w:rsidRPr="00FB1C91">
            <w:rPr>
              <w:color w:val="auto"/>
            </w:rPr>
            <w:t>Introduced</w:t>
          </w:r>
        </w:sdtContent>
      </w:sdt>
    </w:p>
    <w:p w14:paraId="383B7773" w14:textId="4D4B4B2A" w:rsidR="00CD36CF" w:rsidRPr="00FB1C91" w:rsidRDefault="001B0B13" w:rsidP="00CC1F3B">
      <w:pPr>
        <w:pStyle w:val="BillNumber"/>
        <w:rPr>
          <w:color w:val="auto"/>
        </w:rPr>
      </w:pPr>
      <w:sdt>
        <w:sdtPr>
          <w:rPr>
            <w:color w:val="auto"/>
          </w:rPr>
          <w:tag w:val="Chamber"/>
          <w:id w:val="893011969"/>
          <w:lock w:val="sdtLocked"/>
          <w:placeholder>
            <w:docPart w:val="51916A9747DB496FA05FA1B501C28E43"/>
          </w:placeholder>
          <w:dropDownList>
            <w:listItem w:displayText="House" w:value="House"/>
            <w:listItem w:displayText="Senate" w:value="Senate"/>
          </w:dropDownList>
        </w:sdtPr>
        <w:sdtEndPr/>
        <w:sdtContent>
          <w:r w:rsidR="00CC143D" w:rsidRPr="00FB1C91">
            <w:rPr>
              <w:color w:val="auto"/>
            </w:rPr>
            <w:t>House</w:t>
          </w:r>
        </w:sdtContent>
      </w:sdt>
      <w:r w:rsidR="00303684" w:rsidRPr="00FB1C91">
        <w:rPr>
          <w:color w:val="auto"/>
        </w:rPr>
        <w:t xml:space="preserve"> </w:t>
      </w:r>
      <w:r w:rsidR="00CD36CF" w:rsidRPr="00FB1C91">
        <w:rPr>
          <w:color w:val="auto"/>
        </w:rPr>
        <w:t xml:space="preserve">Bill </w:t>
      </w:r>
      <w:sdt>
        <w:sdtPr>
          <w:rPr>
            <w:color w:val="auto"/>
          </w:rPr>
          <w:tag w:val="BNum"/>
          <w:id w:val="1645317809"/>
          <w:lock w:val="sdtLocked"/>
          <w:placeholder>
            <w:docPart w:val="131317A99E2145D18BB86E4AC96B7978"/>
          </w:placeholder>
          <w:text/>
        </w:sdtPr>
        <w:sdtEndPr/>
        <w:sdtContent>
          <w:r w:rsidR="00556DE4">
            <w:rPr>
              <w:color w:val="auto"/>
            </w:rPr>
            <w:t>2110</w:t>
          </w:r>
        </w:sdtContent>
      </w:sdt>
    </w:p>
    <w:p w14:paraId="5C6250B1" w14:textId="41D3E2A5" w:rsidR="00CD36CF" w:rsidRPr="00FB1C91" w:rsidRDefault="00CD36CF" w:rsidP="00CC1F3B">
      <w:pPr>
        <w:pStyle w:val="Sponsors"/>
        <w:rPr>
          <w:color w:val="auto"/>
        </w:rPr>
      </w:pPr>
      <w:r w:rsidRPr="00FB1C91">
        <w:rPr>
          <w:color w:val="auto"/>
        </w:rPr>
        <w:t xml:space="preserve">By </w:t>
      </w:r>
      <w:sdt>
        <w:sdtPr>
          <w:rPr>
            <w:color w:val="auto"/>
          </w:rPr>
          <w:tag w:val="Sponsors"/>
          <w:id w:val="1589585889"/>
          <w:placeholder>
            <w:docPart w:val="9E34A2F7E5D04B0E9F864613A844478B"/>
          </w:placeholder>
          <w:text w:multiLine="1"/>
        </w:sdtPr>
        <w:sdtEndPr/>
        <w:sdtContent>
          <w:r w:rsidR="00CC143D" w:rsidRPr="00FB1C91">
            <w:rPr>
              <w:color w:val="auto"/>
            </w:rPr>
            <w:t>Delegate</w:t>
          </w:r>
          <w:r w:rsidR="001B0B13">
            <w:rPr>
              <w:color w:val="auto"/>
            </w:rPr>
            <w:t>s</w:t>
          </w:r>
          <w:r w:rsidR="00CC143D" w:rsidRPr="00FB1C91">
            <w:rPr>
              <w:color w:val="auto"/>
            </w:rPr>
            <w:t xml:space="preserve"> W. Clark</w:t>
          </w:r>
          <w:r w:rsidR="00FB1C91" w:rsidRPr="00FB1C91">
            <w:rPr>
              <w:color w:val="auto"/>
            </w:rPr>
            <w:t xml:space="preserve"> and Hall</w:t>
          </w:r>
        </w:sdtContent>
      </w:sdt>
    </w:p>
    <w:p w14:paraId="42BE6EF1" w14:textId="1016D274" w:rsidR="00E831B3" w:rsidRPr="00FB1C91" w:rsidRDefault="00CD36CF" w:rsidP="00CC1F3B">
      <w:pPr>
        <w:pStyle w:val="References"/>
        <w:rPr>
          <w:color w:val="auto"/>
        </w:rPr>
      </w:pPr>
      <w:r w:rsidRPr="00FB1C91">
        <w:rPr>
          <w:color w:val="auto"/>
        </w:rPr>
        <w:t>[</w:t>
      </w:r>
      <w:sdt>
        <w:sdtPr>
          <w:rPr>
            <w:color w:val="auto"/>
          </w:rPr>
          <w:tag w:val="References"/>
          <w:id w:val="-1043047873"/>
          <w:placeholder>
            <w:docPart w:val="3336B6A962C0470B9887A73BB77185F4"/>
          </w:placeholder>
          <w:text w:multiLine="1"/>
        </w:sdtPr>
        <w:sdtEndPr/>
        <w:sdtContent>
          <w:r w:rsidR="006E2E27" w:rsidRPr="00FB1C91">
            <w:rPr>
              <w:color w:val="auto"/>
            </w:rPr>
            <w:t xml:space="preserve">Introduced </w:t>
          </w:r>
          <w:r w:rsidR="006E2E27" w:rsidRPr="0083755E">
            <w:rPr>
              <w:color w:val="auto"/>
            </w:rPr>
            <w:t>February 12, 2025</w:t>
          </w:r>
          <w:r w:rsidR="006E2E27" w:rsidRPr="00FB1C91">
            <w:rPr>
              <w:color w:val="auto"/>
            </w:rPr>
            <w:t>; referred</w:t>
          </w:r>
          <w:r w:rsidR="006E2E27" w:rsidRPr="00FB1C91">
            <w:rPr>
              <w:color w:val="auto"/>
            </w:rPr>
            <w:br/>
            <w:t xml:space="preserve">to the Committee on </w:t>
          </w:r>
          <w:r w:rsidR="006E2E27">
            <w:rPr>
              <w:color w:val="auto"/>
            </w:rPr>
            <w:t>the Judiciary</w:t>
          </w:r>
        </w:sdtContent>
      </w:sdt>
      <w:r w:rsidRPr="00FB1C91">
        <w:rPr>
          <w:color w:val="auto"/>
        </w:rPr>
        <w:t>]</w:t>
      </w:r>
    </w:p>
    <w:p w14:paraId="1EB2E8D2" w14:textId="50F7B9AE" w:rsidR="00303684" w:rsidRPr="00FB1C91" w:rsidRDefault="0000526A" w:rsidP="00CC1F3B">
      <w:pPr>
        <w:pStyle w:val="TitleSection"/>
        <w:rPr>
          <w:color w:val="auto"/>
        </w:rPr>
      </w:pPr>
      <w:r w:rsidRPr="00FB1C91">
        <w:rPr>
          <w:color w:val="auto"/>
        </w:rPr>
        <w:lastRenderedPageBreak/>
        <w:t>A BILL</w:t>
      </w:r>
      <w:r w:rsidR="004F2B16" w:rsidRPr="00FB1C91">
        <w:rPr>
          <w:color w:val="auto"/>
        </w:rPr>
        <w:t xml:space="preserve"> to amend the Code of West Virginia, 1931, as amended, by adding thereto a new article, designated §47-18A-1; §47-18A-2; §47-18A-3; §47-18A-4; §47-18A-5; §47-18A-</w:t>
      </w:r>
      <w:r w:rsidR="00D03D06" w:rsidRPr="00FB1C91">
        <w:rPr>
          <w:color w:val="auto"/>
        </w:rPr>
        <w:t>6</w:t>
      </w:r>
      <w:r w:rsidR="004F2B16" w:rsidRPr="00FB1C91">
        <w:rPr>
          <w:color w:val="auto"/>
        </w:rPr>
        <w:t xml:space="preserve">; §47-18A-7; and §47-18A-8; relating to establishing the Uniform Antitrust Pre-Merger Notification Act; providing an article citation designation; defining terms; requiring pre-notification of a merger of certain businesses to the attorney general;  requiring the attorney general to keep confidential certain documents and providing exceptions thereto; allowing reciprocity between the attorney general and certain other state attorneys general for sharing of confidential documents; authorizing the attorney general to pursue civil penalties for any person who fails to comply </w:t>
      </w:r>
      <w:r w:rsidR="005921A6" w:rsidRPr="00FB1C91">
        <w:rPr>
          <w:color w:val="auto"/>
        </w:rPr>
        <w:t xml:space="preserve">with </w:t>
      </w:r>
      <w:r w:rsidR="004F2B16" w:rsidRPr="00FB1C91">
        <w:rPr>
          <w:color w:val="auto"/>
        </w:rPr>
        <w:t>the provisions of this act; requesting courts to promote uniformity between states when applying and construing this act; and provid</w:t>
      </w:r>
      <w:r w:rsidR="005921A6" w:rsidRPr="00FB1C91">
        <w:rPr>
          <w:color w:val="auto"/>
        </w:rPr>
        <w:t>ing</w:t>
      </w:r>
      <w:r w:rsidR="004F2B16" w:rsidRPr="00FB1C91">
        <w:rPr>
          <w:color w:val="auto"/>
        </w:rPr>
        <w:t xml:space="preserve"> that the provisions of this act apply only to those mergers filed on or after the effective date of the act.</w:t>
      </w:r>
    </w:p>
    <w:p w14:paraId="509A8EE3" w14:textId="77777777" w:rsidR="00303684" w:rsidRPr="00FB1C91" w:rsidRDefault="00303684" w:rsidP="00CC1F3B">
      <w:pPr>
        <w:pStyle w:val="EnactingClause"/>
        <w:rPr>
          <w:color w:val="auto"/>
        </w:rPr>
      </w:pPr>
      <w:r w:rsidRPr="00FB1C91">
        <w:rPr>
          <w:color w:val="auto"/>
        </w:rPr>
        <w:t>Be it enacted by the Legislature of West Virginia:</w:t>
      </w:r>
    </w:p>
    <w:p w14:paraId="5468890F" w14:textId="77777777" w:rsidR="003C6034" w:rsidRPr="00FB1C91" w:rsidRDefault="003C6034" w:rsidP="00CC1F3B">
      <w:pPr>
        <w:pStyle w:val="EnactingClause"/>
        <w:rPr>
          <w:color w:val="auto"/>
        </w:rPr>
        <w:sectPr w:rsidR="003C6034" w:rsidRPr="00FB1C9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5EE22F" w14:textId="6D956533" w:rsidR="008736AA" w:rsidRPr="00FB1C91" w:rsidRDefault="004F2B16" w:rsidP="004F2B16">
      <w:pPr>
        <w:pStyle w:val="ChapterHeading"/>
        <w:rPr>
          <w:color w:val="auto"/>
        </w:rPr>
      </w:pPr>
      <w:r w:rsidRPr="00FB1C91">
        <w:rPr>
          <w:color w:val="auto"/>
        </w:rPr>
        <w:t>Chapter 47. Regulation of Trade.</w:t>
      </w:r>
    </w:p>
    <w:p w14:paraId="3333F4CD" w14:textId="68D2B170" w:rsidR="004F2B16" w:rsidRPr="00FB1C91" w:rsidRDefault="004F2B16" w:rsidP="004F2B16">
      <w:pPr>
        <w:pStyle w:val="ArticleHeading"/>
        <w:rPr>
          <w:color w:val="auto"/>
          <w:u w:val="single"/>
        </w:rPr>
      </w:pPr>
      <w:r w:rsidRPr="00FB1C91">
        <w:rPr>
          <w:color w:val="auto"/>
          <w:u w:val="single"/>
        </w:rPr>
        <w:t>Article 18A. Uniform Antitrust Pre-Merger Notification Act.</w:t>
      </w:r>
    </w:p>
    <w:p w14:paraId="4840CF38" w14:textId="1D9D810B" w:rsidR="004F2B16" w:rsidRPr="00FB1C91" w:rsidRDefault="004F2B16" w:rsidP="004F2B16">
      <w:pPr>
        <w:pStyle w:val="SectionHeading"/>
        <w:rPr>
          <w:color w:val="auto"/>
          <w:u w:val="single"/>
        </w:rPr>
      </w:pPr>
      <w:r w:rsidRPr="00FB1C91">
        <w:rPr>
          <w:color w:val="auto"/>
          <w:u w:val="single"/>
        </w:rPr>
        <w:t xml:space="preserve">§47-18A-1. Title. </w:t>
      </w:r>
    </w:p>
    <w:p w14:paraId="188F11C5" w14:textId="77777777"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This article may be cited as the Uniform Antitrust Pre-Merger Notification Act.</w:t>
      </w:r>
    </w:p>
    <w:p w14:paraId="404A5958" w14:textId="2A275745" w:rsidR="004F2B16" w:rsidRPr="00FB1C91" w:rsidRDefault="004F2B16" w:rsidP="004F2B16">
      <w:pPr>
        <w:pStyle w:val="SectionHeading"/>
        <w:rPr>
          <w:color w:val="auto"/>
          <w:u w:val="single"/>
        </w:rPr>
      </w:pPr>
      <w:r w:rsidRPr="00FB1C91">
        <w:rPr>
          <w:color w:val="auto"/>
          <w:u w:val="single"/>
        </w:rPr>
        <w:t>§47-18A-2. Definitions.</w:t>
      </w:r>
    </w:p>
    <w:p w14:paraId="52820C50" w14:textId="77777777" w:rsidR="004F2B16" w:rsidRPr="00FB1C91" w:rsidRDefault="004F2B16" w:rsidP="004F2B16">
      <w:pPr>
        <w:pStyle w:val="SectionBody"/>
        <w:rPr>
          <w:color w:val="auto"/>
          <w:u w:val="single"/>
        </w:rPr>
      </w:pPr>
      <w:r w:rsidRPr="00FB1C91">
        <w:rPr>
          <w:color w:val="auto"/>
          <w:u w:val="single"/>
        </w:rPr>
        <w:t>In this article:</w:t>
      </w:r>
    </w:p>
    <w:p w14:paraId="621F2C4E" w14:textId="3D773780" w:rsidR="004F2B16" w:rsidRPr="00FB1C91" w:rsidRDefault="004F2B16" w:rsidP="004F2B16">
      <w:pPr>
        <w:pStyle w:val="SectionBody"/>
        <w:rPr>
          <w:color w:val="auto"/>
          <w:u w:val="single"/>
        </w:rPr>
      </w:pPr>
      <w:r w:rsidRPr="00FB1C91">
        <w:rPr>
          <w:color w:val="auto"/>
          <w:u w:val="single"/>
        </w:rPr>
        <w:t xml:space="preserve">(a) </w:t>
      </w:r>
      <w:r w:rsidR="00D03D06" w:rsidRPr="00FB1C91">
        <w:rPr>
          <w:color w:val="auto"/>
          <w:u w:val="single"/>
        </w:rPr>
        <w:t>"</w:t>
      </w:r>
      <w:r w:rsidRPr="00FB1C91">
        <w:rPr>
          <w:color w:val="auto"/>
          <w:u w:val="single"/>
        </w:rPr>
        <w:t>Additional documentary material</w:t>
      </w:r>
      <w:r w:rsidR="00D03D06" w:rsidRPr="00FB1C91">
        <w:rPr>
          <w:color w:val="auto"/>
          <w:u w:val="single"/>
        </w:rPr>
        <w:t>"</w:t>
      </w:r>
      <w:r w:rsidRPr="00FB1C91">
        <w:rPr>
          <w:color w:val="auto"/>
          <w:u w:val="single"/>
        </w:rPr>
        <w:t xml:space="preserve"> means the additional documentary material filed with a Hart-Scott-</w:t>
      </w:r>
      <w:proofErr w:type="spellStart"/>
      <w:r w:rsidRPr="00FB1C91">
        <w:rPr>
          <w:color w:val="auto"/>
          <w:u w:val="single"/>
        </w:rPr>
        <w:t>Rodino</w:t>
      </w:r>
      <w:proofErr w:type="spellEnd"/>
      <w:r w:rsidRPr="00FB1C91">
        <w:rPr>
          <w:color w:val="auto"/>
          <w:u w:val="single"/>
        </w:rPr>
        <w:t xml:space="preserve"> form.</w:t>
      </w:r>
    </w:p>
    <w:p w14:paraId="60F3A4F8" w14:textId="48E5F283" w:rsidR="004F2B16" w:rsidRPr="00FB1C91" w:rsidRDefault="004F2B16" w:rsidP="004F2B16">
      <w:pPr>
        <w:pStyle w:val="SectionBody"/>
        <w:rPr>
          <w:color w:val="auto"/>
          <w:u w:val="single"/>
        </w:rPr>
      </w:pPr>
      <w:r w:rsidRPr="00FB1C91">
        <w:rPr>
          <w:color w:val="auto"/>
          <w:u w:val="single"/>
        </w:rPr>
        <w:t xml:space="preserve">(b) </w:t>
      </w:r>
      <w:r w:rsidR="00D03D06" w:rsidRPr="00FB1C91">
        <w:rPr>
          <w:color w:val="auto"/>
          <w:u w:val="single"/>
        </w:rPr>
        <w:t>"</w:t>
      </w:r>
      <w:r w:rsidRPr="00FB1C91">
        <w:rPr>
          <w:color w:val="auto"/>
          <w:u w:val="single"/>
        </w:rPr>
        <w:t>Electronic</w:t>
      </w:r>
      <w:r w:rsidR="00D03D06" w:rsidRPr="00FB1C91">
        <w:rPr>
          <w:color w:val="auto"/>
          <w:u w:val="single"/>
        </w:rPr>
        <w:t>"</w:t>
      </w:r>
      <w:r w:rsidRPr="00FB1C91">
        <w:rPr>
          <w:color w:val="auto"/>
          <w:u w:val="single"/>
        </w:rPr>
        <w:t xml:space="preserve"> means relating to technology having electrical, digital, magnetic, wireless, optical, electromagnetic, or similar capabilities.</w:t>
      </w:r>
    </w:p>
    <w:p w14:paraId="7E0CA8DD" w14:textId="3C950225" w:rsidR="004F2B16" w:rsidRPr="00FB1C91" w:rsidRDefault="004F2B16" w:rsidP="004F2B16">
      <w:pPr>
        <w:pStyle w:val="SectionBody"/>
        <w:rPr>
          <w:color w:val="auto"/>
          <w:u w:val="single"/>
        </w:rPr>
      </w:pPr>
      <w:r w:rsidRPr="00FB1C91">
        <w:rPr>
          <w:color w:val="auto"/>
          <w:u w:val="single"/>
        </w:rPr>
        <w:t xml:space="preserve">(c) </w:t>
      </w:r>
      <w:r w:rsidR="00D03D06" w:rsidRPr="00FB1C91">
        <w:rPr>
          <w:color w:val="auto"/>
          <w:u w:val="single"/>
        </w:rPr>
        <w:t>"</w:t>
      </w:r>
      <w:r w:rsidRPr="00FB1C91">
        <w:rPr>
          <w:color w:val="auto"/>
          <w:u w:val="single"/>
        </w:rPr>
        <w:t>Filing threshold</w:t>
      </w:r>
      <w:r w:rsidR="00D03D06" w:rsidRPr="00FB1C91">
        <w:rPr>
          <w:color w:val="auto"/>
          <w:u w:val="single"/>
        </w:rPr>
        <w:t>"</w:t>
      </w:r>
      <w:r w:rsidRPr="00FB1C91">
        <w:rPr>
          <w:color w:val="auto"/>
          <w:u w:val="single"/>
        </w:rPr>
        <w:t xml:space="preserve"> means the minimum size of a transaction that requires the transaction to be reported under the Hart-Scott-</w:t>
      </w:r>
      <w:proofErr w:type="spellStart"/>
      <w:r w:rsidRPr="00FB1C91">
        <w:rPr>
          <w:color w:val="auto"/>
          <w:u w:val="single"/>
        </w:rPr>
        <w:t>Rodino</w:t>
      </w:r>
      <w:proofErr w:type="spellEnd"/>
      <w:r w:rsidRPr="00FB1C91">
        <w:rPr>
          <w:color w:val="auto"/>
          <w:u w:val="single"/>
        </w:rPr>
        <w:t xml:space="preserve"> Act.</w:t>
      </w:r>
    </w:p>
    <w:p w14:paraId="46B72045" w14:textId="32623867" w:rsidR="004F2B16" w:rsidRPr="00FB1C91" w:rsidRDefault="004F2B16" w:rsidP="004F2B16">
      <w:pPr>
        <w:pStyle w:val="SectionBody"/>
        <w:rPr>
          <w:color w:val="auto"/>
          <w:u w:val="single"/>
        </w:rPr>
      </w:pPr>
      <w:r w:rsidRPr="00FB1C91">
        <w:rPr>
          <w:color w:val="auto"/>
          <w:u w:val="single"/>
        </w:rPr>
        <w:lastRenderedPageBreak/>
        <w:t xml:space="preserve">(d) </w:t>
      </w:r>
      <w:r w:rsidR="00D03D06" w:rsidRPr="00FB1C91">
        <w:rPr>
          <w:color w:val="auto"/>
          <w:u w:val="single"/>
        </w:rPr>
        <w:t>"</w:t>
      </w:r>
      <w:r w:rsidRPr="00FB1C91">
        <w:rPr>
          <w:color w:val="auto"/>
          <w:u w:val="single"/>
        </w:rPr>
        <w:t>Hart-Scott-</w:t>
      </w:r>
      <w:proofErr w:type="spellStart"/>
      <w:r w:rsidRPr="00FB1C91">
        <w:rPr>
          <w:color w:val="auto"/>
          <w:u w:val="single"/>
        </w:rPr>
        <w:t>Rodino</w:t>
      </w:r>
      <w:proofErr w:type="spellEnd"/>
      <w:r w:rsidRPr="00FB1C91">
        <w:rPr>
          <w:color w:val="auto"/>
          <w:u w:val="single"/>
        </w:rPr>
        <w:t xml:space="preserve"> Act</w:t>
      </w:r>
      <w:r w:rsidR="00D03D06" w:rsidRPr="00FB1C91">
        <w:rPr>
          <w:color w:val="auto"/>
          <w:u w:val="single"/>
        </w:rPr>
        <w:t>"</w:t>
      </w:r>
      <w:r w:rsidRPr="00FB1C91">
        <w:rPr>
          <w:color w:val="auto"/>
          <w:u w:val="single"/>
        </w:rPr>
        <w:t xml:space="preserve"> means Section 201 of the Hart-Scott-</w:t>
      </w:r>
      <w:proofErr w:type="spellStart"/>
      <w:r w:rsidRPr="00FB1C91">
        <w:rPr>
          <w:color w:val="auto"/>
          <w:u w:val="single"/>
        </w:rPr>
        <w:t>Rodino</w:t>
      </w:r>
      <w:proofErr w:type="spellEnd"/>
      <w:r w:rsidRPr="00FB1C91">
        <w:rPr>
          <w:color w:val="auto"/>
          <w:u w:val="single"/>
        </w:rPr>
        <w:t xml:space="preserve"> Antitrust Improvements Act of 1976, 15 U.S.C. § 18a.</w:t>
      </w:r>
    </w:p>
    <w:p w14:paraId="7A5DC5D0" w14:textId="3AE664F3" w:rsidR="004F2B16" w:rsidRPr="00FB1C91" w:rsidRDefault="004F2B16" w:rsidP="004F2B16">
      <w:pPr>
        <w:pStyle w:val="SectionBody"/>
        <w:rPr>
          <w:color w:val="auto"/>
          <w:u w:val="single"/>
        </w:rPr>
      </w:pPr>
      <w:r w:rsidRPr="00FB1C91">
        <w:rPr>
          <w:color w:val="auto"/>
          <w:u w:val="single"/>
        </w:rPr>
        <w:t xml:space="preserve">(e) </w:t>
      </w:r>
      <w:r w:rsidR="00D03D06" w:rsidRPr="00FB1C91">
        <w:rPr>
          <w:color w:val="auto"/>
          <w:u w:val="single"/>
        </w:rPr>
        <w:t>"</w:t>
      </w:r>
      <w:r w:rsidRPr="00FB1C91">
        <w:rPr>
          <w:color w:val="auto"/>
          <w:u w:val="single"/>
        </w:rPr>
        <w:t>Hart-Scott-</w:t>
      </w:r>
      <w:proofErr w:type="spellStart"/>
      <w:r w:rsidRPr="00FB1C91">
        <w:rPr>
          <w:color w:val="auto"/>
          <w:u w:val="single"/>
        </w:rPr>
        <w:t>Rodino</w:t>
      </w:r>
      <w:proofErr w:type="spellEnd"/>
      <w:r w:rsidRPr="00FB1C91">
        <w:rPr>
          <w:color w:val="auto"/>
          <w:u w:val="single"/>
        </w:rPr>
        <w:t xml:space="preserve"> form</w:t>
      </w:r>
      <w:r w:rsidR="00D03D06" w:rsidRPr="00FB1C91">
        <w:rPr>
          <w:color w:val="auto"/>
          <w:u w:val="single"/>
        </w:rPr>
        <w:t>"</w:t>
      </w:r>
      <w:r w:rsidRPr="00FB1C91">
        <w:rPr>
          <w:color w:val="auto"/>
          <w:u w:val="single"/>
        </w:rPr>
        <w:t xml:space="preserve"> means the form filed with a pre-merger notification, excluding additional documentary material.</w:t>
      </w:r>
    </w:p>
    <w:p w14:paraId="7A7AB917" w14:textId="76EBA842" w:rsidR="004F2B16" w:rsidRPr="00FB1C91" w:rsidRDefault="004F2B16" w:rsidP="004F2B16">
      <w:pPr>
        <w:pStyle w:val="SectionBody"/>
        <w:rPr>
          <w:color w:val="auto"/>
          <w:u w:val="single"/>
        </w:rPr>
      </w:pPr>
      <w:r w:rsidRPr="00FB1C91">
        <w:rPr>
          <w:color w:val="auto"/>
          <w:u w:val="single"/>
        </w:rPr>
        <w:t xml:space="preserve">(f) </w:t>
      </w:r>
      <w:r w:rsidR="00D03D06" w:rsidRPr="00FB1C91">
        <w:rPr>
          <w:color w:val="auto"/>
          <w:u w:val="single"/>
        </w:rPr>
        <w:t>"</w:t>
      </w:r>
      <w:r w:rsidRPr="00FB1C91">
        <w:rPr>
          <w:color w:val="auto"/>
          <w:u w:val="single"/>
        </w:rPr>
        <w:t>Person</w:t>
      </w:r>
      <w:r w:rsidR="00D03D06" w:rsidRPr="00FB1C91">
        <w:rPr>
          <w:color w:val="auto"/>
          <w:u w:val="single"/>
        </w:rPr>
        <w:t>"</w:t>
      </w:r>
      <w:r w:rsidRPr="00FB1C91">
        <w:rPr>
          <w:color w:val="auto"/>
          <w:u w:val="single"/>
        </w:rPr>
        <w:t xml:space="preserve"> means an individual, estate, business or nonprofit entity, government or governmental subdivision, agency, or instrumentality, or other legal entity.</w:t>
      </w:r>
    </w:p>
    <w:p w14:paraId="511BA35C" w14:textId="3CE19D09" w:rsidR="004F2B16" w:rsidRPr="00FB1C91" w:rsidRDefault="004F2B16" w:rsidP="004F2B16">
      <w:pPr>
        <w:pStyle w:val="SectionBody"/>
        <w:rPr>
          <w:color w:val="auto"/>
          <w:u w:val="single"/>
        </w:rPr>
      </w:pPr>
      <w:r w:rsidRPr="00FB1C91">
        <w:rPr>
          <w:color w:val="auto"/>
          <w:u w:val="single"/>
        </w:rPr>
        <w:t xml:space="preserve">(g) </w:t>
      </w:r>
      <w:r w:rsidR="00D03D06" w:rsidRPr="00FB1C91">
        <w:rPr>
          <w:color w:val="auto"/>
          <w:u w:val="single"/>
        </w:rPr>
        <w:t>"</w:t>
      </w:r>
      <w:r w:rsidRPr="00FB1C91">
        <w:rPr>
          <w:color w:val="auto"/>
          <w:u w:val="single"/>
        </w:rPr>
        <w:t>Pre-merger notification</w:t>
      </w:r>
      <w:r w:rsidR="00D03D06" w:rsidRPr="00FB1C91">
        <w:rPr>
          <w:color w:val="auto"/>
          <w:u w:val="single"/>
        </w:rPr>
        <w:t>"</w:t>
      </w:r>
      <w:r w:rsidRPr="00FB1C91">
        <w:rPr>
          <w:color w:val="auto"/>
          <w:u w:val="single"/>
        </w:rPr>
        <w:t xml:space="preserve"> means a notification filed under the Hart-Scott-</w:t>
      </w:r>
      <w:proofErr w:type="spellStart"/>
      <w:r w:rsidRPr="00FB1C91">
        <w:rPr>
          <w:color w:val="auto"/>
          <w:u w:val="single"/>
        </w:rPr>
        <w:t>Rodino</w:t>
      </w:r>
      <w:proofErr w:type="spellEnd"/>
      <w:r w:rsidRPr="00FB1C91">
        <w:rPr>
          <w:color w:val="auto"/>
          <w:u w:val="single"/>
        </w:rPr>
        <w:t xml:space="preserve"> Act with the Federal Trade Commission or the United States Department of Justice Antitrust Division, or a successor agency.</w:t>
      </w:r>
    </w:p>
    <w:p w14:paraId="33CECA34" w14:textId="4514DC68"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 xml:space="preserve">(h) </w:t>
      </w:r>
      <w:r w:rsidR="00D03D06" w:rsidRPr="00FB1C91">
        <w:rPr>
          <w:color w:val="auto"/>
          <w:u w:val="single"/>
        </w:rPr>
        <w:t>"</w:t>
      </w:r>
      <w:r w:rsidRPr="00FB1C91">
        <w:rPr>
          <w:color w:val="auto"/>
          <w:u w:val="single"/>
        </w:rPr>
        <w:t>State</w:t>
      </w:r>
      <w:r w:rsidR="00D03D06" w:rsidRPr="00FB1C91">
        <w:rPr>
          <w:color w:val="auto"/>
          <w:u w:val="single"/>
        </w:rPr>
        <w:t>"</w:t>
      </w:r>
      <w:r w:rsidRPr="00FB1C91">
        <w:rPr>
          <w:color w:val="auto"/>
          <w:u w:val="single"/>
        </w:rPr>
        <w:t xml:space="preserve"> means a state of the United States, the District of Columbia, Puerto Rico, the United States Virgin Islands, or any other territory or possession subject to the jurisdiction of the United States.</w:t>
      </w:r>
    </w:p>
    <w:p w14:paraId="0151442F" w14:textId="477947C1" w:rsidR="004F2B16" w:rsidRPr="00FB1C91" w:rsidRDefault="004F2B16" w:rsidP="004F2B16">
      <w:pPr>
        <w:pStyle w:val="SectionHeading"/>
        <w:rPr>
          <w:color w:val="auto"/>
          <w:u w:val="single"/>
        </w:rPr>
      </w:pPr>
      <w:r w:rsidRPr="00FB1C91">
        <w:rPr>
          <w:color w:val="auto"/>
          <w:u w:val="single"/>
        </w:rPr>
        <w:t>§47-18A-3. Filing Requirement.</w:t>
      </w:r>
    </w:p>
    <w:p w14:paraId="26D6EBFE" w14:textId="77777777" w:rsidR="004F2B16" w:rsidRPr="00FB1C91" w:rsidRDefault="004F2B16" w:rsidP="004F2B16">
      <w:pPr>
        <w:pStyle w:val="SectionBody"/>
        <w:rPr>
          <w:color w:val="auto"/>
          <w:u w:val="single"/>
        </w:rPr>
      </w:pPr>
      <w:r w:rsidRPr="00FB1C91">
        <w:rPr>
          <w:color w:val="auto"/>
          <w:u w:val="single"/>
        </w:rPr>
        <w:t>(a) A person filing a pre-merger notification shall file contemporaneously a complete electronic copy of the Hart-Scott-</w:t>
      </w:r>
      <w:proofErr w:type="spellStart"/>
      <w:r w:rsidRPr="00FB1C91">
        <w:rPr>
          <w:color w:val="auto"/>
          <w:u w:val="single"/>
        </w:rPr>
        <w:t>Rodino</w:t>
      </w:r>
      <w:proofErr w:type="spellEnd"/>
      <w:r w:rsidRPr="00FB1C91">
        <w:rPr>
          <w:color w:val="auto"/>
          <w:u w:val="single"/>
        </w:rPr>
        <w:t xml:space="preserve"> form with the Attorney General if:</w:t>
      </w:r>
    </w:p>
    <w:p w14:paraId="1E283688" w14:textId="1A831530" w:rsidR="004F2B16" w:rsidRPr="00FB1C91" w:rsidRDefault="004F2B16" w:rsidP="004F2B16">
      <w:pPr>
        <w:pStyle w:val="SectionBody"/>
        <w:rPr>
          <w:color w:val="auto"/>
          <w:u w:val="single"/>
        </w:rPr>
      </w:pPr>
      <w:r w:rsidRPr="00FB1C91">
        <w:rPr>
          <w:color w:val="auto"/>
          <w:u w:val="single"/>
        </w:rPr>
        <w:t>(1) The person has its principal place of business in this state; or</w:t>
      </w:r>
    </w:p>
    <w:p w14:paraId="07C0CF49" w14:textId="0D8321B9" w:rsidR="004F2B16" w:rsidRPr="00FB1C91" w:rsidRDefault="004F2B16" w:rsidP="004F2B16">
      <w:pPr>
        <w:pStyle w:val="SectionBody"/>
        <w:rPr>
          <w:color w:val="auto"/>
          <w:u w:val="single"/>
        </w:rPr>
      </w:pPr>
      <w:r w:rsidRPr="00FB1C91">
        <w:rPr>
          <w:color w:val="auto"/>
          <w:u w:val="single"/>
        </w:rPr>
        <w:t>(2) The person or a person it controls directly or indirectly had annual net sales in this state of the goods or services involved in the transaction of at least 20% of the filing threshold.</w:t>
      </w:r>
    </w:p>
    <w:p w14:paraId="0ADCC8C3" w14:textId="2C6E0248" w:rsidR="004F2B16" w:rsidRPr="00FB1C91" w:rsidRDefault="004F2B16" w:rsidP="004F2B16">
      <w:pPr>
        <w:pStyle w:val="SectionBody"/>
        <w:rPr>
          <w:color w:val="auto"/>
          <w:u w:val="single"/>
        </w:rPr>
      </w:pPr>
      <w:r w:rsidRPr="00FB1C91">
        <w:rPr>
          <w:color w:val="auto"/>
          <w:u w:val="single"/>
        </w:rPr>
        <w:t>(b) A person that files a form under §47-18A-3(a)(1) shall include with the filing a complete electronic copy of the additional documentary material.</w:t>
      </w:r>
    </w:p>
    <w:p w14:paraId="530E9EE1" w14:textId="39D9091C" w:rsidR="004F2B16" w:rsidRPr="00FB1C91" w:rsidRDefault="004F2B16" w:rsidP="004F2B16">
      <w:pPr>
        <w:pStyle w:val="SectionBody"/>
        <w:rPr>
          <w:color w:val="auto"/>
          <w:u w:val="single"/>
        </w:rPr>
      </w:pPr>
      <w:r w:rsidRPr="00FB1C91">
        <w:rPr>
          <w:color w:val="auto"/>
          <w:u w:val="single"/>
        </w:rPr>
        <w:t>(c) On request of the Attorney General, a person that filed a form under 47-18A-3(a)(2) shall provide a complete electronic copy of the additional documentary material to the Attorney General not later than seven days after receipt of the request.</w:t>
      </w:r>
    </w:p>
    <w:p w14:paraId="3BB885EB" w14:textId="07FCA013"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(d) The Attorney General may not charge a fee connected with filing or providing the form or additional documentary material under this section.</w:t>
      </w:r>
    </w:p>
    <w:p w14:paraId="143F2812" w14:textId="397895D3" w:rsidR="004F2B16" w:rsidRPr="00FB1C91" w:rsidRDefault="004F2B16" w:rsidP="004F2B16">
      <w:pPr>
        <w:pStyle w:val="SectionHeading"/>
        <w:rPr>
          <w:color w:val="auto"/>
          <w:u w:val="single"/>
        </w:rPr>
      </w:pPr>
      <w:r w:rsidRPr="00FB1C91">
        <w:rPr>
          <w:color w:val="auto"/>
          <w:u w:val="single"/>
        </w:rPr>
        <w:t xml:space="preserve">§47-18A-4. Confidentiality. </w:t>
      </w:r>
    </w:p>
    <w:p w14:paraId="0161BFE9" w14:textId="29AD37CF" w:rsidR="004F2B16" w:rsidRPr="00FB1C91" w:rsidRDefault="004F2B16" w:rsidP="004F2B16">
      <w:pPr>
        <w:pStyle w:val="SectionBody"/>
        <w:rPr>
          <w:color w:val="auto"/>
          <w:u w:val="single"/>
        </w:rPr>
      </w:pPr>
      <w:r w:rsidRPr="00FB1C91">
        <w:rPr>
          <w:color w:val="auto"/>
          <w:u w:val="single"/>
        </w:rPr>
        <w:lastRenderedPageBreak/>
        <w:t>(a) Except as provided in §47-18A-4(c) or §47-18A-5, the Attorney General may not make public or disclose:</w:t>
      </w:r>
    </w:p>
    <w:p w14:paraId="1E0BFAAE" w14:textId="4C929C7C" w:rsidR="004F2B16" w:rsidRPr="00FB1C91" w:rsidRDefault="004F2B16" w:rsidP="004F2B16">
      <w:pPr>
        <w:pStyle w:val="SectionBody"/>
        <w:rPr>
          <w:color w:val="auto"/>
          <w:u w:val="single"/>
        </w:rPr>
      </w:pPr>
      <w:r w:rsidRPr="00FB1C91">
        <w:rPr>
          <w:color w:val="auto"/>
          <w:u w:val="single"/>
        </w:rPr>
        <w:t>(1) A Hart-Scott-</w:t>
      </w:r>
      <w:proofErr w:type="spellStart"/>
      <w:r w:rsidRPr="00FB1C91">
        <w:rPr>
          <w:color w:val="auto"/>
          <w:u w:val="single"/>
        </w:rPr>
        <w:t>Rodino</w:t>
      </w:r>
      <w:proofErr w:type="spellEnd"/>
      <w:r w:rsidRPr="00FB1C91">
        <w:rPr>
          <w:color w:val="auto"/>
          <w:u w:val="single"/>
        </w:rPr>
        <w:t xml:space="preserve"> form filed under §47-18A-3;</w:t>
      </w:r>
    </w:p>
    <w:p w14:paraId="4C9C9F0E" w14:textId="02A229BE" w:rsidR="004F2B16" w:rsidRPr="00FB1C91" w:rsidRDefault="004F2B16" w:rsidP="004F2B16">
      <w:pPr>
        <w:pStyle w:val="SectionBody"/>
        <w:rPr>
          <w:color w:val="auto"/>
          <w:u w:val="single"/>
        </w:rPr>
      </w:pPr>
      <w:r w:rsidRPr="00FB1C91">
        <w:rPr>
          <w:color w:val="auto"/>
          <w:u w:val="single"/>
        </w:rPr>
        <w:t>(2) The additional documentary material filed or provided under §47-18A-3;</w:t>
      </w:r>
    </w:p>
    <w:p w14:paraId="2F8ECA1F" w14:textId="1E04E610" w:rsidR="004F2B16" w:rsidRPr="00FB1C91" w:rsidRDefault="004F2B16" w:rsidP="004F2B16">
      <w:pPr>
        <w:pStyle w:val="SectionBody"/>
        <w:rPr>
          <w:color w:val="auto"/>
          <w:u w:val="single"/>
        </w:rPr>
      </w:pPr>
      <w:r w:rsidRPr="00FB1C91">
        <w:rPr>
          <w:color w:val="auto"/>
          <w:u w:val="single"/>
        </w:rPr>
        <w:t>(3) A Hart-Scott-</w:t>
      </w:r>
      <w:proofErr w:type="spellStart"/>
      <w:r w:rsidRPr="00FB1C91">
        <w:rPr>
          <w:color w:val="auto"/>
          <w:u w:val="single"/>
        </w:rPr>
        <w:t>Rodino</w:t>
      </w:r>
      <w:proofErr w:type="spellEnd"/>
      <w:r w:rsidRPr="00FB1C91">
        <w:rPr>
          <w:color w:val="auto"/>
          <w:u w:val="single"/>
        </w:rPr>
        <w:t xml:space="preserve"> form or additional documentary material provided by the attorney general of another state;  </w:t>
      </w:r>
    </w:p>
    <w:p w14:paraId="13ECC3F5" w14:textId="46F62AF8" w:rsidR="004F2B16" w:rsidRPr="00FB1C91" w:rsidRDefault="004F2B16" w:rsidP="004F2B16">
      <w:pPr>
        <w:pStyle w:val="SectionBody"/>
        <w:rPr>
          <w:color w:val="auto"/>
          <w:u w:val="single"/>
        </w:rPr>
      </w:pPr>
      <w:r w:rsidRPr="00FB1C91">
        <w:rPr>
          <w:color w:val="auto"/>
          <w:u w:val="single"/>
        </w:rPr>
        <w:t>(4) That the form or the additional documentary material were filed or provided under §47-18A-3, or provided by the attorney general of another state; or</w:t>
      </w:r>
    </w:p>
    <w:p w14:paraId="7D26466C" w14:textId="2DDE8BD2" w:rsidR="004F2B16" w:rsidRPr="00FB1C91" w:rsidRDefault="004F2B16" w:rsidP="004F2B16">
      <w:pPr>
        <w:pStyle w:val="SectionBody"/>
        <w:rPr>
          <w:color w:val="auto"/>
          <w:u w:val="single"/>
        </w:rPr>
      </w:pPr>
      <w:r w:rsidRPr="00FB1C91">
        <w:rPr>
          <w:color w:val="auto"/>
          <w:u w:val="single"/>
        </w:rPr>
        <w:t>(5) The merger proposed in the form.</w:t>
      </w:r>
    </w:p>
    <w:p w14:paraId="406894D2" w14:textId="6A975B85" w:rsidR="004F2B16" w:rsidRPr="00FB1C91" w:rsidRDefault="004F2B16" w:rsidP="004F2B16">
      <w:pPr>
        <w:pStyle w:val="SectionBody"/>
        <w:rPr>
          <w:color w:val="auto"/>
          <w:u w:val="single"/>
        </w:rPr>
      </w:pPr>
      <w:r w:rsidRPr="00FB1C91">
        <w:rPr>
          <w:color w:val="auto"/>
          <w:u w:val="single"/>
        </w:rPr>
        <w:t xml:space="preserve">(b)  A form, additional documentary material, and other information listed in subsection (a) are exempt from disclosure under §29B-1-1 </w:t>
      </w:r>
      <w:r w:rsidRPr="00FB1C91">
        <w:rPr>
          <w:i/>
          <w:iCs/>
          <w:color w:val="auto"/>
          <w:u w:val="single"/>
        </w:rPr>
        <w:t>et seq</w:t>
      </w:r>
      <w:r w:rsidRPr="00FB1C91">
        <w:rPr>
          <w:color w:val="auto"/>
          <w:u w:val="single"/>
        </w:rPr>
        <w:t>.</w:t>
      </w:r>
    </w:p>
    <w:p w14:paraId="0722123C" w14:textId="0996016B" w:rsidR="004F2B16" w:rsidRPr="00FB1C91" w:rsidRDefault="004F2B16" w:rsidP="004F2B16">
      <w:pPr>
        <w:pStyle w:val="SectionBody"/>
        <w:rPr>
          <w:color w:val="auto"/>
          <w:u w:val="single"/>
        </w:rPr>
      </w:pPr>
      <w:r w:rsidRPr="00FB1C91">
        <w:rPr>
          <w:color w:val="auto"/>
          <w:u w:val="single"/>
        </w:rPr>
        <w:t>(c) Subject to a protective order entered by an agency, court, or judicial officer, the Attorney General may disclose a form, additional documentary material, or other information listed in §47-18A-4(a) in an administrative proceeding or judicial action if the proposed merger is relevant to the proceeding or action.</w:t>
      </w:r>
    </w:p>
    <w:p w14:paraId="41224863" w14:textId="77777777" w:rsidR="004F2B16" w:rsidRPr="00FB1C91" w:rsidRDefault="004F2B16" w:rsidP="004F2B16">
      <w:pPr>
        <w:pStyle w:val="SectionBody"/>
        <w:rPr>
          <w:color w:val="auto"/>
          <w:u w:val="single"/>
        </w:rPr>
      </w:pPr>
      <w:r w:rsidRPr="00FB1C91">
        <w:rPr>
          <w:color w:val="auto"/>
          <w:u w:val="single"/>
        </w:rPr>
        <w:t xml:space="preserve">(d) This article does not: </w:t>
      </w:r>
    </w:p>
    <w:p w14:paraId="5B3FC778" w14:textId="77777777" w:rsidR="004F2B16" w:rsidRPr="00FB1C91" w:rsidRDefault="004F2B16" w:rsidP="004F2B16">
      <w:pPr>
        <w:pStyle w:val="SectionBody"/>
        <w:rPr>
          <w:color w:val="auto"/>
          <w:u w:val="single"/>
        </w:rPr>
      </w:pPr>
      <w:r w:rsidRPr="00FB1C91">
        <w:rPr>
          <w:color w:val="auto"/>
          <w:u w:val="single"/>
        </w:rPr>
        <w:t xml:space="preserve">(1) Limit any other confidentiality or information-security obligation of the Attorney General; </w:t>
      </w:r>
    </w:p>
    <w:p w14:paraId="38D427B4" w14:textId="77777777" w:rsidR="004F2B16" w:rsidRPr="00FB1C91" w:rsidRDefault="004F2B16" w:rsidP="004F2B16">
      <w:pPr>
        <w:pStyle w:val="SectionBody"/>
        <w:rPr>
          <w:color w:val="auto"/>
          <w:u w:val="single"/>
        </w:rPr>
      </w:pPr>
      <w:r w:rsidRPr="00FB1C91">
        <w:rPr>
          <w:color w:val="auto"/>
          <w:u w:val="single"/>
        </w:rPr>
        <w:t xml:space="preserve">(2) Preclude the Attorney General from sharing information with the Federal Trade Commission or the United States Department of Justice Antitrust Division, or a successor agency; or </w:t>
      </w:r>
    </w:p>
    <w:p w14:paraId="4A811614" w14:textId="77777777"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(3) Preclude the Attorney General from sharing information with the attorney general of another state that has enacted the Uniform Antitrust Pre-Merger Notification Act or a substantively equivalent act. The other state’s act must include confidentiality provisions at least as protective as the confidentiality provisions of the Uniform Antitrust Pre-Merger Notification Act.</w:t>
      </w:r>
    </w:p>
    <w:p w14:paraId="65ED5B1F" w14:textId="439EFD0C" w:rsidR="004F2B16" w:rsidRPr="00FB1C91" w:rsidRDefault="004F2B16" w:rsidP="004F2B16">
      <w:pPr>
        <w:pStyle w:val="SectionHeading"/>
        <w:rPr>
          <w:color w:val="auto"/>
          <w:u w:val="single"/>
        </w:rPr>
      </w:pPr>
      <w:r w:rsidRPr="00FB1C91">
        <w:rPr>
          <w:color w:val="auto"/>
          <w:u w:val="single"/>
        </w:rPr>
        <w:t>§47-18A-5. Reciprocity.</w:t>
      </w:r>
    </w:p>
    <w:p w14:paraId="3840CC50" w14:textId="274A2F67" w:rsidR="004F2B16" w:rsidRPr="00FB1C91" w:rsidRDefault="004F2B16" w:rsidP="004F2B16">
      <w:pPr>
        <w:pStyle w:val="SectionBody"/>
        <w:rPr>
          <w:color w:val="auto"/>
          <w:u w:val="single"/>
        </w:rPr>
      </w:pPr>
      <w:r w:rsidRPr="00FB1C91">
        <w:rPr>
          <w:color w:val="auto"/>
          <w:u w:val="single"/>
        </w:rPr>
        <w:t>(a) The Attorney General may disclose a Hart-Scott-</w:t>
      </w:r>
      <w:proofErr w:type="spellStart"/>
      <w:r w:rsidRPr="00FB1C91">
        <w:rPr>
          <w:color w:val="auto"/>
          <w:u w:val="single"/>
        </w:rPr>
        <w:t>Rodino</w:t>
      </w:r>
      <w:proofErr w:type="spellEnd"/>
      <w:r w:rsidRPr="00FB1C91">
        <w:rPr>
          <w:color w:val="auto"/>
          <w:u w:val="single"/>
        </w:rPr>
        <w:t xml:space="preserve"> form and additional </w:t>
      </w:r>
      <w:r w:rsidRPr="00FB1C91">
        <w:rPr>
          <w:color w:val="auto"/>
          <w:u w:val="single"/>
        </w:rPr>
        <w:lastRenderedPageBreak/>
        <w:t xml:space="preserve">documentary material filed or provided under §47-18A-3 to the attorney general of another state that enacts the Uniform Antitrust Pre-Merger Notification Act or a substantively equivalent act. The other state’s act must include confidentiality provisions at least as protective as the confidentiality provisions of the Uniform Antitrust Pre-Merger Notification Act. </w:t>
      </w:r>
    </w:p>
    <w:p w14:paraId="0D44E177" w14:textId="1C48E26C"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(b) At least two business days before making a disclosure under §47-18A-5(a), the Attorney General shall give notice of the disclosure to the person filing or providing the form or additional documentary material under §47-18A-3.</w:t>
      </w:r>
    </w:p>
    <w:p w14:paraId="63442B15" w14:textId="31B620C2" w:rsidR="004F2B16" w:rsidRPr="00FB1C91" w:rsidRDefault="004F2B16" w:rsidP="004F2B16">
      <w:pPr>
        <w:pStyle w:val="SectionHeading"/>
        <w:rPr>
          <w:color w:val="auto"/>
          <w:u w:val="single"/>
        </w:rPr>
      </w:pPr>
      <w:r w:rsidRPr="00FB1C91">
        <w:rPr>
          <w:color w:val="auto"/>
          <w:u w:val="single"/>
        </w:rPr>
        <w:t xml:space="preserve">§47-18A-6. Civil Penalty. </w:t>
      </w:r>
    </w:p>
    <w:p w14:paraId="376EEE90" w14:textId="79250AE0"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The Attorney General may seek imposition of a civil penalty of not more than $10,000 per day of noncompliance on a person that fails to comply with §47-18A-3 (a), (b), or (c). A civil penalty imposed under this section is subject to procedural requirements applicable to the Attorney General, including the requirements of due process.</w:t>
      </w:r>
    </w:p>
    <w:p w14:paraId="73AF5704" w14:textId="00DB27F4" w:rsidR="004F2B16" w:rsidRPr="00FB1C91" w:rsidRDefault="004F2B16" w:rsidP="004F2B16">
      <w:pPr>
        <w:pStyle w:val="SectionHeading"/>
        <w:rPr>
          <w:color w:val="auto"/>
          <w:u w:val="single"/>
        </w:rPr>
      </w:pPr>
      <w:r w:rsidRPr="00FB1C91">
        <w:rPr>
          <w:color w:val="auto"/>
          <w:u w:val="single"/>
        </w:rPr>
        <w:t>§47-18A-7. Uniformity of Application and Construction.</w:t>
      </w:r>
    </w:p>
    <w:p w14:paraId="1CCFB78E" w14:textId="77777777" w:rsidR="004F2B16" w:rsidRPr="00FB1C91" w:rsidRDefault="004F2B16" w:rsidP="004F2B16">
      <w:pPr>
        <w:pStyle w:val="SectionBody"/>
        <w:rPr>
          <w:color w:val="auto"/>
          <w:u w:val="single"/>
        </w:rPr>
        <w:sectPr w:rsidR="004F2B16" w:rsidRPr="00FB1C91" w:rsidSect="00DF199D">
          <w:type w:val="continuous"/>
          <w:pgSz w:w="12240" w:h="15840" w:code="1"/>
          <w:pgMar w:top="1440" w:right="1440" w:bottom="1440" w:left="1440" w:header="720" w:footer="720" w:gutter="0"/>
          <w:lnNumType w:countBy="1" w:restart="newSection"/>
          <w:cols w:space="720"/>
          <w:titlePg/>
          <w:docGrid w:linePitch="360"/>
        </w:sectPr>
      </w:pPr>
      <w:r w:rsidRPr="00FB1C91">
        <w:rPr>
          <w:color w:val="auto"/>
          <w:u w:val="single"/>
        </w:rPr>
        <w:t>In applying and construing this uniform act, a court shall consider the promotion of uniformity of the law among jurisdictions that enact it.</w:t>
      </w:r>
    </w:p>
    <w:p w14:paraId="3361D03B" w14:textId="034881EF" w:rsidR="004F2B16" w:rsidRPr="00FB1C91" w:rsidRDefault="004F2B16" w:rsidP="004F2B16">
      <w:pPr>
        <w:pStyle w:val="SectionHeading"/>
        <w:rPr>
          <w:color w:val="auto"/>
          <w:u w:val="single"/>
        </w:rPr>
      </w:pPr>
      <w:r w:rsidRPr="00FB1C91">
        <w:rPr>
          <w:color w:val="auto"/>
          <w:u w:val="single"/>
        </w:rPr>
        <w:t xml:space="preserve">§47-18A-8. Transitional Provision. </w:t>
      </w:r>
    </w:p>
    <w:p w14:paraId="00AEC8CC" w14:textId="6F2F2347" w:rsidR="004F2B16" w:rsidRPr="00FB1C91" w:rsidRDefault="004F2B16" w:rsidP="004F2B16">
      <w:pPr>
        <w:pStyle w:val="SectionBody"/>
        <w:rPr>
          <w:color w:val="auto"/>
          <w:u w:val="single"/>
        </w:rPr>
      </w:pPr>
      <w:r w:rsidRPr="00FB1C91">
        <w:rPr>
          <w:color w:val="auto"/>
          <w:u w:val="single"/>
        </w:rPr>
        <w:t>This article applies only to a pre-merger notification filed on or after the effective date of this act.</w:t>
      </w:r>
    </w:p>
    <w:p w14:paraId="581807D4" w14:textId="77777777" w:rsidR="00C33014" w:rsidRPr="00FB1C91" w:rsidRDefault="00C33014" w:rsidP="00CC1F3B">
      <w:pPr>
        <w:pStyle w:val="Note"/>
        <w:rPr>
          <w:color w:val="auto"/>
        </w:rPr>
      </w:pPr>
    </w:p>
    <w:p w14:paraId="103186EF" w14:textId="77777777" w:rsidR="004F2B16" w:rsidRPr="00FB1C91" w:rsidRDefault="00CF1DCA" w:rsidP="004F2B16">
      <w:pPr>
        <w:pStyle w:val="Note"/>
        <w:rPr>
          <w:color w:val="auto"/>
        </w:rPr>
      </w:pPr>
      <w:r w:rsidRPr="00FB1C91">
        <w:rPr>
          <w:color w:val="auto"/>
        </w:rPr>
        <w:t xml:space="preserve">NOTE: </w:t>
      </w:r>
      <w:r w:rsidR="004F2B16" w:rsidRPr="00FB1C91">
        <w:rPr>
          <w:color w:val="auto"/>
        </w:rPr>
        <w:t>The purpose of this bill is to enact the Uniform Antitrust Pre-Merger Notification Act; which allows the state attorney general to receive access to filings with the federal government of required business mergers that may have antitrust implications that can impact the state, so the state can participate in the antitrust review process while assuring that the attorney general preserves the confidentiality of shared documents.</w:t>
      </w:r>
    </w:p>
    <w:p w14:paraId="57122DCE" w14:textId="77777777" w:rsidR="004F2B16" w:rsidRPr="00FB1C91" w:rsidRDefault="004F2B16" w:rsidP="004F2B16">
      <w:pPr>
        <w:pStyle w:val="Note"/>
        <w:rPr>
          <w:color w:val="auto"/>
        </w:rPr>
      </w:pPr>
      <w:r w:rsidRPr="00FB1C91">
        <w:rPr>
          <w:color w:val="auto"/>
        </w:rPr>
        <w:t>This bill was recommended for passage by the Commission on Interstate Cooperation.</w:t>
      </w:r>
    </w:p>
    <w:p w14:paraId="3D2FAD97" w14:textId="6F740D67" w:rsidR="006865E9" w:rsidRPr="00FB1C91" w:rsidRDefault="004F2B16" w:rsidP="004F2B16">
      <w:pPr>
        <w:pStyle w:val="Note"/>
        <w:rPr>
          <w:color w:val="auto"/>
        </w:rPr>
      </w:pPr>
      <w:r w:rsidRPr="00FB1C91">
        <w:rPr>
          <w:color w:val="auto"/>
        </w:rPr>
        <w:t>Strike-throughs indicate language that would be stricken from a heading or the present law and underscoring indicates new language that would be added.</w:t>
      </w:r>
    </w:p>
    <w:sectPr w:rsidR="006865E9" w:rsidRPr="00FB1C9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AE73" w14:textId="77777777" w:rsidR="009D6789" w:rsidRPr="00B844FE" w:rsidRDefault="009D6789" w:rsidP="00B844FE">
      <w:r>
        <w:separator/>
      </w:r>
    </w:p>
  </w:endnote>
  <w:endnote w:type="continuationSeparator" w:id="0">
    <w:p w14:paraId="59EAC982" w14:textId="77777777" w:rsidR="009D6789" w:rsidRPr="00B844FE" w:rsidRDefault="009D67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85C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B710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A1DC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5AAD" w14:textId="77777777" w:rsidR="00C13AEA" w:rsidRDefault="00C1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4E4C" w14:textId="77777777" w:rsidR="009D6789" w:rsidRPr="00B844FE" w:rsidRDefault="009D6789" w:rsidP="00B844FE">
      <w:r>
        <w:separator/>
      </w:r>
    </w:p>
  </w:footnote>
  <w:footnote w:type="continuationSeparator" w:id="0">
    <w:p w14:paraId="5F5BE581" w14:textId="77777777" w:rsidR="009D6789" w:rsidRPr="00B844FE" w:rsidRDefault="009D67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F5ED" w14:textId="77777777" w:rsidR="002A0269" w:rsidRPr="00B844FE" w:rsidRDefault="001B0B13">
    <w:pPr>
      <w:pStyle w:val="Header"/>
    </w:pPr>
    <w:sdt>
      <w:sdtPr>
        <w:id w:val="-684364211"/>
        <w:placeholder>
          <w:docPart w:val="51916A9747DB496FA05FA1B501C28E4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916A9747DB496FA05FA1B501C28E4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8C66" w14:textId="07D2605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CC143D">
      <w:rPr>
        <w:sz w:val="22"/>
        <w:szCs w:val="22"/>
      </w:rPr>
      <w:t>H</w:t>
    </w:r>
    <w:r w:rsidR="00166AF2">
      <w:rPr>
        <w:sz w:val="22"/>
        <w:szCs w:val="22"/>
      </w:rPr>
      <w:t xml:space="preserve">B </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2B16">
          <w:rPr>
            <w:sz w:val="22"/>
            <w:szCs w:val="22"/>
          </w:rPr>
          <w:t>2025R231</w:t>
        </w:r>
        <w:r w:rsidR="00CC143D">
          <w:rPr>
            <w:sz w:val="22"/>
            <w:szCs w:val="22"/>
          </w:rPr>
          <w:t>9</w:t>
        </w:r>
      </w:sdtContent>
    </w:sdt>
  </w:p>
  <w:p w14:paraId="1B0423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5C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89"/>
    <w:rsid w:val="0000526A"/>
    <w:rsid w:val="00015BCF"/>
    <w:rsid w:val="000573A9"/>
    <w:rsid w:val="00085D22"/>
    <w:rsid w:val="00093AB0"/>
    <w:rsid w:val="000C5C77"/>
    <w:rsid w:val="000E3912"/>
    <w:rsid w:val="0010070F"/>
    <w:rsid w:val="00144DC6"/>
    <w:rsid w:val="0015112E"/>
    <w:rsid w:val="001552E7"/>
    <w:rsid w:val="001566B4"/>
    <w:rsid w:val="001578D8"/>
    <w:rsid w:val="00166AF2"/>
    <w:rsid w:val="001A66B7"/>
    <w:rsid w:val="001B0B13"/>
    <w:rsid w:val="001C279E"/>
    <w:rsid w:val="001D459E"/>
    <w:rsid w:val="00211F02"/>
    <w:rsid w:val="0022348D"/>
    <w:rsid w:val="002368C0"/>
    <w:rsid w:val="0027011C"/>
    <w:rsid w:val="00274200"/>
    <w:rsid w:val="00275740"/>
    <w:rsid w:val="002A0269"/>
    <w:rsid w:val="00303684"/>
    <w:rsid w:val="003143F5"/>
    <w:rsid w:val="00314854"/>
    <w:rsid w:val="00394191"/>
    <w:rsid w:val="003C51CD"/>
    <w:rsid w:val="003C6034"/>
    <w:rsid w:val="003E0F3F"/>
    <w:rsid w:val="00400B5C"/>
    <w:rsid w:val="004368E0"/>
    <w:rsid w:val="00445378"/>
    <w:rsid w:val="00457BB2"/>
    <w:rsid w:val="004C13DD"/>
    <w:rsid w:val="004D3ABE"/>
    <w:rsid w:val="004E3441"/>
    <w:rsid w:val="004F2B16"/>
    <w:rsid w:val="00500579"/>
    <w:rsid w:val="00556DE4"/>
    <w:rsid w:val="005921A6"/>
    <w:rsid w:val="005A5366"/>
    <w:rsid w:val="006369EB"/>
    <w:rsid w:val="00637E73"/>
    <w:rsid w:val="00685DEB"/>
    <w:rsid w:val="006865E9"/>
    <w:rsid w:val="00686E9A"/>
    <w:rsid w:val="00691F3E"/>
    <w:rsid w:val="00694BFB"/>
    <w:rsid w:val="006A106B"/>
    <w:rsid w:val="006C523D"/>
    <w:rsid w:val="006C6BEA"/>
    <w:rsid w:val="006D4036"/>
    <w:rsid w:val="006E2E27"/>
    <w:rsid w:val="00770681"/>
    <w:rsid w:val="007A5259"/>
    <w:rsid w:val="007A7081"/>
    <w:rsid w:val="007F1CF5"/>
    <w:rsid w:val="00834EDE"/>
    <w:rsid w:val="0086046C"/>
    <w:rsid w:val="008736AA"/>
    <w:rsid w:val="008D275D"/>
    <w:rsid w:val="00946186"/>
    <w:rsid w:val="00980327"/>
    <w:rsid w:val="00986478"/>
    <w:rsid w:val="00997680"/>
    <w:rsid w:val="009B5557"/>
    <w:rsid w:val="009D6789"/>
    <w:rsid w:val="009F1067"/>
    <w:rsid w:val="00A31E01"/>
    <w:rsid w:val="00A527AD"/>
    <w:rsid w:val="00A718CF"/>
    <w:rsid w:val="00AA069B"/>
    <w:rsid w:val="00AA7233"/>
    <w:rsid w:val="00AE48A0"/>
    <w:rsid w:val="00AE61BE"/>
    <w:rsid w:val="00B16F25"/>
    <w:rsid w:val="00B24422"/>
    <w:rsid w:val="00B66B81"/>
    <w:rsid w:val="00B71E6F"/>
    <w:rsid w:val="00B772E8"/>
    <w:rsid w:val="00B80C20"/>
    <w:rsid w:val="00B844FE"/>
    <w:rsid w:val="00B86B4F"/>
    <w:rsid w:val="00BA1F84"/>
    <w:rsid w:val="00BA41AB"/>
    <w:rsid w:val="00BC562B"/>
    <w:rsid w:val="00C13AEA"/>
    <w:rsid w:val="00C33014"/>
    <w:rsid w:val="00C33434"/>
    <w:rsid w:val="00C34869"/>
    <w:rsid w:val="00C42EB6"/>
    <w:rsid w:val="00C62327"/>
    <w:rsid w:val="00C85096"/>
    <w:rsid w:val="00CB20EF"/>
    <w:rsid w:val="00CC143D"/>
    <w:rsid w:val="00CC1F3B"/>
    <w:rsid w:val="00CD12CB"/>
    <w:rsid w:val="00CD36CF"/>
    <w:rsid w:val="00CF1DCA"/>
    <w:rsid w:val="00D03D06"/>
    <w:rsid w:val="00D107E4"/>
    <w:rsid w:val="00D579FC"/>
    <w:rsid w:val="00D81C16"/>
    <w:rsid w:val="00DE526B"/>
    <w:rsid w:val="00DF199D"/>
    <w:rsid w:val="00E01542"/>
    <w:rsid w:val="00E365F1"/>
    <w:rsid w:val="00E40171"/>
    <w:rsid w:val="00E62F48"/>
    <w:rsid w:val="00E831B3"/>
    <w:rsid w:val="00E95FBC"/>
    <w:rsid w:val="00EC5E63"/>
    <w:rsid w:val="00EE70CB"/>
    <w:rsid w:val="00F12A30"/>
    <w:rsid w:val="00F41CA2"/>
    <w:rsid w:val="00F443C0"/>
    <w:rsid w:val="00F62EFB"/>
    <w:rsid w:val="00F939A4"/>
    <w:rsid w:val="00FA7B09"/>
    <w:rsid w:val="00FB1C91"/>
    <w:rsid w:val="00FC3314"/>
    <w:rsid w:val="00FD5B51"/>
    <w:rsid w:val="00FE030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A852"/>
  <w15:chartTrackingRefBased/>
  <w15:docId w15:val="{209F7182-7B78-41AC-B109-82B02DA3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9738">
      <w:bodyDiv w:val="1"/>
      <w:marLeft w:val="0"/>
      <w:marRight w:val="0"/>
      <w:marTop w:val="0"/>
      <w:marBottom w:val="0"/>
      <w:divBdr>
        <w:top w:val="none" w:sz="0" w:space="0" w:color="auto"/>
        <w:left w:val="none" w:sz="0" w:space="0" w:color="auto"/>
        <w:bottom w:val="none" w:sz="0" w:space="0" w:color="auto"/>
        <w:right w:val="none" w:sz="0" w:space="0" w:color="auto"/>
      </w:divBdr>
    </w:div>
    <w:div w:id="693071961">
      <w:bodyDiv w:val="1"/>
      <w:marLeft w:val="0"/>
      <w:marRight w:val="0"/>
      <w:marTop w:val="0"/>
      <w:marBottom w:val="0"/>
      <w:divBdr>
        <w:top w:val="none" w:sz="0" w:space="0" w:color="auto"/>
        <w:left w:val="none" w:sz="0" w:space="0" w:color="auto"/>
        <w:bottom w:val="none" w:sz="0" w:space="0" w:color="auto"/>
        <w:right w:val="none" w:sz="0" w:space="0" w:color="auto"/>
      </w:divBdr>
    </w:div>
    <w:div w:id="1496722582">
      <w:bodyDiv w:val="1"/>
      <w:marLeft w:val="0"/>
      <w:marRight w:val="0"/>
      <w:marTop w:val="0"/>
      <w:marBottom w:val="0"/>
      <w:divBdr>
        <w:top w:val="none" w:sz="0" w:space="0" w:color="auto"/>
        <w:left w:val="none" w:sz="0" w:space="0" w:color="auto"/>
        <w:bottom w:val="none" w:sz="0" w:space="0" w:color="auto"/>
        <w:right w:val="none" w:sz="0" w:space="0" w:color="auto"/>
      </w:divBdr>
    </w:div>
    <w:div w:id="1541815817">
      <w:bodyDiv w:val="1"/>
      <w:marLeft w:val="0"/>
      <w:marRight w:val="0"/>
      <w:marTop w:val="0"/>
      <w:marBottom w:val="0"/>
      <w:divBdr>
        <w:top w:val="none" w:sz="0" w:space="0" w:color="auto"/>
        <w:left w:val="none" w:sz="0" w:space="0" w:color="auto"/>
        <w:bottom w:val="none" w:sz="0" w:space="0" w:color="auto"/>
        <w:right w:val="none" w:sz="0" w:space="0" w:color="auto"/>
      </w:divBdr>
    </w:div>
    <w:div w:id="1570581795">
      <w:bodyDiv w:val="1"/>
      <w:marLeft w:val="0"/>
      <w:marRight w:val="0"/>
      <w:marTop w:val="0"/>
      <w:marBottom w:val="0"/>
      <w:divBdr>
        <w:top w:val="none" w:sz="0" w:space="0" w:color="auto"/>
        <w:left w:val="none" w:sz="0" w:space="0" w:color="auto"/>
        <w:bottom w:val="none" w:sz="0" w:space="0" w:color="auto"/>
        <w:right w:val="none" w:sz="0" w:space="0" w:color="auto"/>
      </w:divBdr>
    </w:div>
    <w:div w:id="1688211215">
      <w:bodyDiv w:val="1"/>
      <w:marLeft w:val="0"/>
      <w:marRight w:val="0"/>
      <w:marTop w:val="0"/>
      <w:marBottom w:val="0"/>
      <w:divBdr>
        <w:top w:val="none" w:sz="0" w:space="0" w:color="auto"/>
        <w:left w:val="none" w:sz="0" w:space="0" w:color="auto"/>
        <w:bottom w:val="none" w:sz="0" w:space="0" w:color="auto"/>
        <w:right w:val="none" w:sz="0" w:space="0" w:color="auto"/>
      </w:divBdr>
    </w:div>
    <w:div w:id="21100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C2E1500B924FC7B524738648631BCA"/>
        <w:category>
          <w:name w:val="General"/>
          <w:gallery w:val="placeholder"/>
        </w:category>
        <w:types>
          <w:type w:val="bbPlcHdr"/>
        </w:types>
        <w:behaviors>
          <w:behavior w:val="content"/>
        </w:behaviors>
        <w:guid w:val="{76A45A66-4970-4729-8626-E2CE8FCE5593}"/>
      </w:docPartPr>
      <w:docPartBody>
        <w:p w:rsidR="0081040A" w:rsidRDefault="0081040A">
          <w:pPr>
            <w:pStyle w:val="62C2E1500B924FC7B524738648631BCA"/>
          </w:pPr>
          <w:r w:rsidRPr="00B844FE">
            <w:t>Prefix Text</w:t>
          </w:r>
        </w:p>
      </w:docPartBody>
    </w:docPart>
    <w:docPart>
      <w:docPartPr>
        <w:name w:val="51916A9747DB496FA05FA1B501C28E43"/>
        <w:category>
          <w:name w:val="General"/>
          <w:gallery w:val="placeholder"/>
        </w:category>
        <w:types>
          <w:type w:val="bbPlcHdr"/>
        </w:types>
        <w:behaviors>
          <w:behavior w:val="content"/>
        </w:behaviors>
        <w:guid w:val="{8B89D97C-8AB4-4373-AC02-CD6AB8F012C9}"/>
      </w:docPartPr>
      <w:docPartBody>
        <w:p w:rsidR="0081040A" w:rsidRDefault="0081040A">
          <w:pPr>
            <w:pStyle w:val="51916A9747DB496FA05FA1B501C28E43"/>
          </w:pPr>
          <w:r w:rsidRPr="00B844FE">
            <w:t>[Type here]</w:t>
          </w:r>
        </w:p>
      </w:docPartBody>
    </w:docPart>
    <w:docPart>
      <w:docPartPr>
        <w:name w:val="131317A99E2145D18BB86E4AC96B7978"/>
        <w:category>
          <w:name w:val="General"/>
          <w:gallery w:val="placeholder"/>
        </w:category>
        <w:types>
          <w:type w:val="bbPlcHdr"/>
        </w:types>
        <w:behaviors>
          <w:behavior w:val="content"/>
        </w:behaviors>
        <w:guid w:val="{A3BB21E2-3011-44FD-91F5-BC51BFFFEE81}"/>
      </w:docPartPr>
      <w:docPartBody>
        <w:p w:rsidR="0081040A" w:rsidRDefault="0081040A">
          <w:pPr>
            <w:pStyle w:val="131317A99E2145D18BB86E4AC96B7978"/>
          </w:pPr>
          <w:r w:rsidRPr="00B844FE">
            <w:t>Number</w:t>
          </w:r>
        </w:p>
      </w:docPartBody>
    </w:docPart>
    <w:docPart>
      <w:docPartPr>
        <w:name w:val="9E34A2F7E5D04B0E9F864613A844478B"/>
        <w:category>
          <w:name w:val="General"/>
          <w:gallery w:val="placeholder"/>
        </w:category>
        <w:types>
          <w:type w:val="bbPlcHdr"/>
        </w:types>
        <w:behaviors>
          <w:behavior w:val="content"/>
        </w:behaviors>
        <w:guid w:val="{7CA60144-9C19-43A1-8B87-AC860F1838A8}"/>
      </w:docPartPr>
      <w:docPartBody>
        <w:p w:rsidR="0081040A" w:rsidRDefault="0081040A">
          <w:pPr>
            <w:pStyle w:val="9E34A2F7E5D04B0E9F864613A844478B"/>
          </w:pPr>
          <w:r w:rsidRPr="00B844FE">
            <w:t>Enter Sponsors Here</w:t>
          </w:r>
        </w:p>
      </w:docPartBody>
    </w:docPart>
    <w:docPart>
      <w:docPartPr>
        <w:name w:val="3336B6A962C0470B9887A73BB77185F4"/>
        <w:category>
          <w:name w:val="General"/>
          <w:gallery w:val="placeholder"/>
        </w:category>
        <w:types>
          <w:type w:val="bbPlcHdr"/>
        </w:types>
        <w:behaviors>
          <w:behavior w:val="content"/>
        </w:behaviors>
        <w:guid w:val="{B85757F1-0F6F-42A8-92D5-8D22E4315BD7}"/>
      </w:docPartPr>
      <w:docPartBody>
        <w:p w:rsidR="0081040A" w:rsidRDefault="0081040A">
          <w:pPr>
            <w:pStyle w:val="3336B6A962C0470B9887A73BB77185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0A"/>
    <w:rsid w:val="001578D8"/>
    <w:rsid w:val="0081040A"/>
    <w:rsid w:val="00997680"/>
    <w:rsid w:val="00E4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C2E1500B924FC7B524738648631BCA">
    <w:name w:val="62C2E1500B924FC7B524738648631BCA"/>
  </w:style>
  <w:style w:type="paragraph" w:customStyle="1" w:styleId="51916A9747DB496FA05FA1B501C28E43">
    <w:name w:val="51916A9747DB496FA05FA1B501C28E43"/>
  </w:style>
  <w:style w:type="paragraph" w:customStyle="1" w:styleId="131317A99E2145D18BB86E4AC96B7978">
    <w:name w:val="131317A99E2145D18BB86E4AC96B7978"/>
  </w:style>
  <w:style w:type="paragraph" w:customStyle="1" w:styleId="9E34A2F7E5D04B0E9F864613A844478B">
    <w:name w:val="9E34A2F7E5D04B0E9F864613A844478B"/>
  </w:style>
  <w:style w:type="character" w:styleId="PlaceholderText">
    <w:name w:val="Placeholder Text"/>
    <w:basedOn w:val="DefaultParagraphFont"/>
    <w:uiPriority w:val="99"/>
    <w:semiHidden/>
    <w:rPr>
      <w:color w:val="808080"/>
    </w:rPr>
  </w:style>
  <w:style w:type="paragraph" w:customStyle="1" w:styleId="3336B6A962C0470B9887A73BB77185F4">
    <w:name w:val="3336B6A962C0470B9887A73BB7718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4</cp:revision>
  <dcterms:created xsi:type="dcterms:W3CDTF">2025-02-11T23:57:00Z</dcterms:created>
  <dcterms:modified xsi:type="dcterms:W3CDTF">2025-02-25T19:16:00Z</dcterms:modified>
</cp:coreProperties>
</file>